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7DD88102"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771251">
        <w:rPr>
          <w:rFonts w:cs="Arial"/>
          <w:sz w:val="22"/>
          <w:szCs w:val="22"/>
        </w:rPr>
        <w:t>111</w:t>
      </w:r>
      <w:r w:rsidR="000B1A2E">
        <w:rPr>
          <w:rFonts w:cs="Arial"/>
          <w:sz w:val="22"/>
          <w:szCs w:val="22"/>
        </w:rPr>
        <w:t>8</w:t>
      </w:r>
    </w:p>
    <w:p w14:paraId="7FE86C43" w14:textId="4F2B0E53" w:rsidR="004E3939" w:rsidRPr="00771251" w:rsidRDefault="001C2B15" w:rsidP="007712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r w:rsidR="00771251" w:rsidRPr="00771251">
        <w:rPr>
          <w:b w:val="0"/>
          <w:bCs w:val="0"/>
          <w:sz w:val="22"/>
          <w:szCs w:val="22"/>
        </w:rPr>
        <w:t xml:space="preserve">revision of </w:t>
      </w:r>
      <w:r w:rsidR="00771251">
        <w:rPr>
          <w:b w:val="0"/>
          <w:bCs w:val="0"/>
          <w:sz w:val="22"/>
          <w:szCs w:val="22"/>
        </w:rPr>
        <w:t>S4-22</w:t>
      </w:r>
      <w:r w:rsidR="0072442F">
        <w:rPr>
          <w:b w:val="0"/>
          <w:bCs w:val="0"/>
          <w:sz w:val="22"/>
          <w:szCs w:val="22"/>
        </w:rPr>
        <w:t>111</w:t>
      </w:r>
      <w:r w:rsidR="000B1A2E">
        <w:rPr>
          <w:b w:val="0"/>
          <w:bCs w:val="0"/>
          <w:sz w:val="22"/>
          <w:szCs w:val="22"/>
        </w:rPr>
        <w:t>6</w:t>
      </w:r>
    </w:p>
    <w:p w14:paraId="128E4ABE" w14:textId="77777777" w:rsidR="00B97703" w:rsidRPr="00771251" w:rsidRDefault="00B97703">
      <w:pPr>
        <w:rPr>
          <w:rFonts w:ascii="Arial" w:hAnsi="Arial" w:cs="Arial"/>
        </w:rPr>
      </w:pPr>
    </w:p>
    <w:p w14:paraId="77D60CFF" w14:textId="48A40210"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C87D42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8E591A">
        <w:rPr>
          <w:rFonts w:ascii="Arial" w:hAnsi="Arial" w:cs="Arial"/>
          <w:b/>
          <w:bCs/>
          <w:sz w:val="22"/>
          <w:szCs w:val="22"/>
        </w:rPr>
        <w:t>0907</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5CD2012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CR 26.532</w:t>
      </w:r>
      <w:r w:rsidR="00771251">
        <w:rPr>
          <w:rFonts w:ascii="Arial" w:hAnsi="Arial" w:cs="Arial"/>
          <w:bCs/>
        </w:rPr>
        <w:t>-0001</w:t>
      </w:r>
      <w:r w:rsidR="001E3DC6">
        <w:rPr>
          <w:rFonts w:ascii="Arial" w:hAnsi="Arial" w:cs="Arial"/>
          <w:bCs/>
        </w:rPr>
        <w:t>r1</w:t>
      </w:r>
      <w:r w:rsidR="00771251">
        <w:rPr>
          <w:rFonts w:ascii="Arial" w:hAnsi="Arial" w:cs="Arial"/>
          <w:bCs/>
        </w:rPr>
        <w:t xml:space="preserve">, </w:t>
      </w:r>
      <w:r w:rsidR="000D13A5">
        <w:rPr>
          <w:rFonts w:ascii="Arial" w:hAnsi="Arial" w:cs="Arial"/>
          <w:bCs/>
        </w:rPr>
        <w:t>CR 26.531</w:t>
      </w:r>
      <w:r w:rsidR="00771251">
        <w:rPr>
          <w:rFonts w:ascii="Arial" w:hAnsi="Arial" w:cs="Arial"/>
          <w:bCs/>
        </w:rPr>
        <w:t>-0001</w:t>
      </w:r>
      <w:r w:rsidR="001E3DC6">
        <w:rPr>
          <w:rFonts w:ascii="Arial" w:hAnsi="Arial" w:cs="Arial"/>
          <w:bCs/>
        </w:rPr>
        <w:t>r1</w:t>
      </w:r>
      <w:r w:rsidR="00771251">
        <w:rPr>
          <w:rFonts w:ascii="Arial" w:hAnsi="Arial" w:cs="Arial"/>
          <w:bCs/>
        </w:rPr>
        <w:t>, CR 26.501-0040</w:t>
      </w:r>
      <w:r w:rsidR="001E3DC6">
        <w:rPr>
          <w:rFonts w:ascii="Arial" w:hAnsi="Arial" w:cs="Arial"/>
          <w:bCs/>
        </w:rPr>
        <w:t>r1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25F5EEB1"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proofErr w:type="spellStart"/>
      <w:r w:rsidRPr="00F374BC">
        <w:rPr>
          <w:rStyle w:val="Code"/>
          <w:rFonts w:eastAsiaTheme="majorEastAsia"/>
        </w:rPr>
        <w:t>DataReportingProvisioningSession</w:t>
      </w:r>
      <w:proofErr w:type="spellEnd"/>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004E15C8">
        <w:rPr>
          <w:noProof/>
        </w:rPr>
        <w:t xml:space="preserve">, </w:t>
      </w:r>
      <w:r w:rsidR="00F71791">
        <w:rPr>
          <w:noProof/>
        </w:rPr>
        <w:t xml:space="preserve">on </w:t>
      </w:r>
      <w:r w:rsidRPr="00C065E8">
        <w:rPr>
          <w:noProof/>
        </w:rPr>
        <w:t xml:space="preserve">a </w:t>
      </w:r>
      <w:r w:rsidRPr="005428DE">
        <w:rPr>
          <w:noProof/>
        </w:rPr>
        <w:t>CR</w:t>
      </w:r>
      <w:r w:rsidR="005428DE">
        <w:rPr>
          <w:noProof/>
        </w:rPr>
        <w:t xml:space="preserve"> </w:t>
      </w:r>
      <w:r w:rsidRPr="00C065E8">
        <w:rPr>
          <w:noProof/>
        </w:rPr>
        <w:t>to TS 26.532</w:t>
      </w:r>
      <w:r w:rsidR="005428DE">
        <w:rPr>
          <w:noProof/>
        </w:rPr>
        <w:t xml:space="preserve">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proofErr w:type="spellStart"/>
      <w:r w:rsidRPr="00F374BC">
        <w:rPr>
          <w:rStyle w:val="Code"/>
        </w:rPr>
        <w:t>DataReportingConfiguration</w:t>
      </w:r>
      <w:proofErr w:type="spellEnd"/>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proofErr w:type="spellStart"/>
      <w:r w:rsidRPr="00CF50A8">
        <w:rPr>
          <w:rFonts w:ascii="Arial" w:hAnsi="Arial" w:cs="Arial"/>
          <w:i/>
          <w:iCs/>
          <w:sz w:val="18"/>
          <w:szCs w:val="18"/>
        </w:rPr>
        <w:t>DataReportingConfigurationPatch</w:t>
      </w:r>
      <w:proofErr w:type="spellEnd"/>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426B56D2" w:rsidR="00F374BC" w:rsidRPr="00E50D7A" w:rsidRDefault="000D6072" w:rsidP="007C6D5F">
      <w:pPr>
        <w:rPr>
          <w:rFonts w:ascii="Arial" w:eastAsiaTheme="majorEastAsia" w:hAnsi="Arial" w:cs="Arial"/>
        </w:rPr>
      </w:pPr>
      <w:r>
        <w:rPr>
          <w:rFonts w:eastAsiaTheme="majorEastAsia"/>
        </w:rPr>
        <w:t xml:space="preserve">The attached </w:t>
      </w:r>
      <w:r w:rsidR="004E15C8">
        <w:rPr>
          <w:noProof/>
        </w:rPr>
        <w:t>CR</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cs="Times New Roman"/>
          <w:lang w:val="en-US" w:eastAsia="zh-CN"/>
        </w:rPr>
        <w:t xml:space="preserve">The semantics of </w:t>
      </w:r>
      <w:r w:rsidR="005428DE">
        <w:t>data exposure restriction dimensions (“</w:t>
      </w:r>
      <w:r w:rsidR="005428DE" w:rsidRPr="0092679A">
        <w:rPr>
          <w:rFonts w:eastAsiaTheme="minorEastAsia" w:cs="Times New Roman"/>
          <w:lang w:val="en-US" w:eastAsia="zh-CN"/>
        </w:rPr>
        <w:t>Restriction dimensions</w:t>
      </w:r>
      <w:r w:rsidR="005428DE">
        <w:rPr>
          <w:rFonts w:eastAsiaTheme="minorEastAsia" w:cs="Times New Roman"/>
          <w:lang w:val="en-US" w:eastAsia="zh-CN"/>
        </w:rPr>
        <w:t>” in CT3’s LS)</w:t>
      </w:r>
      <w:r w:rsidR="005428DE" w:rsidRPr="0092679A">
        <w:rPr>
          <w:rFonts w:eastAsiaTheme="minorEastAsia" w:cs="Times New Roman"/>
          <w:lang w:val="en-US" w:eastAsia="zh-CN"/>
        </w:rPr>
        <w:t xml:space="preserve"> are specified in Clause 4.5.2 of TS 26.531. </w:t>
      </w:r>
      <w:r w:rsidR="005428DE">
        <w:rPr>
          <w:rFonts w:eastAsiaTheme="minorEastAsia" w:cs="Times New Roman"/>
          <w:lang w:val="en-US" w:eastAsia="zh-CN"/>
        </w:rPr>
        <w:t xml:space="preserve">Aggregation functions are defined with regards to time, user and location specific dimensions of data exposure restriction, and their </w:t>
      </w:r>
      <w:r w:rsidR="005428DE" w:rsidRPr="0092679A">
        <w:rPr>
          <w:rFonts w:eastAsiaTheme="minorEastAsia" w:cs="Times New Roman"/>
          <w:lang w:val="en-US" w:eastAsia="zh-CN"/>
        </w:rPr>
        <w:t xml:space="preserve">units of </w:t>
      </w:r>
      <w:r w:rsidR="005428DE">
        <w:rPr>
          <w:rFonts w:eastAsiaTheme="minorEastAsia" w:cs="Times New Roman"/>
          <w:lang w:val="en-US" w:eastAsia="zh-CN"/>
        </w:rPr>
        <w:t>measurement</w:t>
      </w:r>
      <w:r w:rsidR="005428DE" w:rsidRPr="0092679A">
        <w:rPr>
          <w:rFonts w:eastAsiaTheme="minorEastAsia" w:cs="Times New Roman"/>
          <w:lang w:val="en-US" w:eastAsia="zh-CN"/>
        </w:rPr>
        <w:t xml:space="preserve"> are specified in clause 6.3.2.3 of TS 26.532</w:t>
      </w:r>
      <w:r w:rsidR="005428DE">
        <w:rPr>
          <w:rFonts w:eastAsiaTheme="minorEastAsia" w:cs="Times New Roman"/>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w:t>
      </w:r>
      <w:r w:rsidR="002548A2">
        <w:t>data exposure restriction</w:t>
      </w:r>
      <w:r w:rsidRPr="005F1860">
        <w:rPr>
          <w:rFonts w:eastAsiaTheme="minorEastAsia" w:cs="Times New Roman"/>
          <w:lang w:val="en-US" w:eastAsia="zh-CN"/>
        </w:rPr>
        <w:t xml:space="preserve"> dimensions are not included in the subscription request by the event consumer.</w:t>
      </w:r>
      <w:ins w:id="19" w:author="Richard Bradbury" w:date="2022-08-01T14:57:00Z">
        <w:r w:rsidR="00B4012A">
          <w:rPr>
            <w:rFonts w:eastAsiaTheme="minorEastAsia" w:cs="Times New Roman"/>
            <w:lang w:val="en-US" w:eastAsia="zh-CN"/>
          </w:rPr>
          <w:t xml:space="preserve"> </w:t>
        </w:r>
      </w:ins>
      <w:r w:rsidR="00EF1059">
        <w:rPr>
          <w:rFonts w:eastAsiaTheme="minorEastAsia" w:cs="Times New Roman"/>
          <w:lang w:val="en-US" w:eastAsia="zh-CN"/>
        </w:rPr>
        <w:t xml:space="preserve">These </w:t>
      </w:r>
      <w:r w:rsidR="00B4012A">
        <w:rPr>
          <w:rFonts w:eastAsiaTheme="minorEastAsia" w:cs="Times New Roman"/>
          <w:lang w:val="en-US" w:eastAsia="zh-CN"/>
        </w:rPr>
        <w:t>are properties of Data Access Profiles</w:t>
      </w:r>
      <w:ins w:id="20"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r w:rsidR="0013465E">
        <w:rPr>
          <w:rFonts w:eastAsiaTheme="minorEastAsia" w:cs="Times New Roman"/>
          <w:lang w:val="en-US" w:eastAsia="zh-CN"/>
        </w:rPr>
        <w:t>,</w:t>
      </w:r>
      <w:r w:rsidR="00B4012A">
        <w:rPr>
          <w:rFonts w:eastAsiaTheme="minorEastAsia" w:cs="Times New Roman"/>
          <w:lang w:val="en-US" w:eastAsia="zh-CN"/>
        </w:rPr>
        <w:t xml:space="preserve"> </w:t>
      </w:r>
      <w:r w:rsidR="00720FAE">
        <w:rPr>
          <w:rFonts w:eastAsiaTheme="minorEastAsia" w:cs="Times New Roman"/>
          <w:lang w:val="en-US" w:eastAsia="zh-CN"/>
        </w:rPr>
        <w:t xml:space="preserve">that </w:t>
      </w:r>
      <w:r w:rsidR="00B4012A">
        <w:rPr>
          <w:rFonts w:eastAsiaTheme="minorEastAsia" w:cs="Times New Roman"/>
          <w:lang w:val="en-US" w:eastAsia="zh-CN"/>
        </w:rPr>
        <w:t xml:space="preserve">are not </w:t>
      </w:r>
      <w:r w:rsidR="004E6AC4">
        <w:rPr>
          <w:rFonts w:eastAsiaTheme="minorEastAsia" w:cs="Times New Roman"/>
          <w:lang w:val="en-US" w:eastAsia="zh-CN"/>
        </w:rPr>
        <w:t xml:space="preserve">explicitly known to or selectable </w:t>
      </w:r>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603C98FD"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w:t>
      </w:r>
      <w:r w:rsidR="001F79F9">
        <w:rPr>
          <w:rFonts w:eastAsiaTheme="minorEastAsia"/>
          <w:lang w:val="en-US" w:eastAsia="zh-CN"/>
        </w:rPr>
        <w:t>a</w:t>
      </w:r>
      <w:r w:rsidR="003120C5">
        <w:rPr>
          <w:rFonts w:eastAsiaTheme="minorEastAsia"/>
          <w:lang w:val="en-US" w:eastAsia="zh-CN"/>
        </w:rPr>
        <w:t>long with</w:t>
      </w:r>
      <w:r w:rsidR="001F79F9">
        <w:rPr>
          <w:rFonts w:eastAsiaTheme="minorEastAsia"/>
          <w:lang w:val="en-US" w:eastAsia="zh-CN"/>
        </w:rPr>
        <w:t xml:space="preserve"> optional event filter information</w:t>
      </w:r>
      <w:r w:rsidR="00B46584">
        <w:rPr>
          <w:rFonts w:eastAsiaTheme="minorEastAsia"/>
          <w:lang w:val="en-US" w:eastAsia="zh-CN"/>
        </w:rPr>
        <w:t>. Th</w:t>
      </w:r>
      <w:r w:rsidR="008165EC">
        <w:rPr>
          <w:rFonts w:eastAsiaTheme="minorEastAsia"/>
          <w:lang w:val="en-US" w:eastAsia="zh-CN"/>
        </w:rPr>
        <w:t>ese parameters</w:t>
      </w:r>
      <w:r w:rsidR="00B46584">
        <w:rPr>
          <w:rFonts w:eastAsiaTheme="minorEastAsia"/>
          <w:lang w:val="en-US" w:eastAsia="zh-CN"/>
        </w:rPr>
        <w:t xml:space="preserve"> </w:t>
      </w:r>
      <w:r w:rsidR="008165EC">
        <w:rPr>
          <w:rFonts w:eastAsiaTheme="minorEastAsia"/>
          <w:lang w:val="en-US" w:eastAsia="zh-CN"/>
        </w:rPr>
        <w:t>are</w:t>
      </w:r>
      <w:r w:rsidR="004A670D">
        <w:rPr>
          <w:rFonts w:eastAsiaTheme="minorEastAsia"/>
          <w:lang w:val="en-US" w:eastAsia="zh-CN"/>
        </w:rPr>
        <w:t xml:space="preserve"> </w:t>
      </w:r>
      <w:r w:rsidR="00B46584">
        <w:rPr>
          <w:rFonts w:eastAsiaTheme="minorEastAsia"/>
          <w:lang w:val="en-US" w:eastAsia="zh-CN"/>
        </w:rPr>
        <w:t>shown in</w:t>
      </w:r>
      <w:r w:rsidR="00DF7B88">
        <w:rPr>
          <w:rFonts w:eastAsiaTheme="minorEastAsia"/>
          <w:lang w:val="en-US" w:eastAsia="zh-CN"/>
        </w:rPr>
        <w:t xml:space="preserve"> </w:t>
      </w:r>
      <w:r w:rsidRPr="00C26718">
        <w:rPr>
          <w:rFonts w:eastAsiaTheme="minorEastAsia"/>
          <w:lang w:val="en-US" w:eastAsia="zh-CN"/>
        </w:rPr>
        <w:t xml:space="preserve">step </w:t>
      </w:r>
      <w:r w:rsidR="00554AF5">
        <w:rPr>
          <w:rFonts w:eastAsiaTheme="minorEastAsia"/>
          <w:lang w:val="en-US" w:eastAsia="zh-CN"/>
        </w:rPr>
        <w:t>6</w:t>
      </w:r>
      <w:r w:rsidR="00B46584">
        <w:rPr>
          <w:rFonts w:eastAsiaTheme="minorEastAsia"/>
          <w:lang w:val="en-US" w:eastAsia="zh-CN"/>
        </w:rPr>
        <w:t xml:space="preserve"> of the event subscription procedures</w:t>
      </w:r>
      <w:r w:rsidRPr="00C26718">
        <w:rPr>
          <w:rFonts w:eastAsiaTheme="minorEastAsia"/>
          <w:lang w:val="en-US" w:eastAsia="zh-CN"/>
        </w:rPr>
        <w:t xml:space="preserve"> </w:t>
      </w:r>
      <w:r w:rsidR="00B46584">
        <w:rPr>
          <w:rFonts w:eastAsiaTheme="minorEastAsia"/>
          <w:lang w:val="en-US" w:eastAsia="zh-CN"/>
        </w:rPr>
        <w:t xml:space="preserve">in </w:t>
      </w:r>
      <w:r w:rsidR="00DC4DC3">
        <w:rPr>
          <w:rFonts w:eastAsiaTheme="minorEastAsia"/>
          <w:lang w:val="en-US" w:eastAsia="zh-CN"/>
        </w:rPr>
        <w:t xml:space="preserve">the </w:t>
      </w:r>
      <w:r w:rsidR="009C37B8">
        <w:rPr>
          <w:rFonts w:eastAsiaTheme="minorEastAsia"/>
          <w:lang w:val="en-US" w:eastAsia="zh-CN"/>
        </w:rPr>
        <w:t xml:space="preserve">updated </w:t>
      </w:r>
      <w:r w:rsidRPr="00C26718">
        <w:rPr>
          <w:rFonts w:eastAsiaTheme="minorEastAsia"/>
          <w:lang w:val="en-US" w:eastAsia="zh-CN"/>
        </w:rPr>
        <w:t xml:space="preserve">clause 5.8 </w:t>
      </w:r>
      <w:r w:rsidR="005160F0">
        <w:rPr>
          <w:rFonts w:eastAsiaTheme="minorEastAsia"/>
          <w:lang w:val="en-US" w:eastAsia="zh-CN"/>
        </w:rPr>
        <w:t>of TS 26.531</w:t>
      </w:r>
      <w:r w:rsidR="00114491">
        <w:rPr>
          <w:rFonts w:eastAsiaTheme="minorEastAsia"/>
          <w:lang w:val="en-US" w:eastAsia="zh-CN"/>
        </w:rPr>
        <w:t>,</w:t>
      </w:r>
      <w:r w:rsidR="005160F0">
        <w:rPr>
          <w:rFonts w:eastAsiaTheme="minorEastAsia"/>
          <w:lang w:val="en-US" w:eastAsia="zh-CN"/>
        </w:rPr>
        <w:t xml:space="preserve"> </w:t>
      </w:r>
      <w:r w:rsidR="00752F3C">
        <w:rPr>
          <w:rFonts w:eastAsiaTheme="minorEastAsia"/>
          <w:lang w:val="en-US" w:eastAsia="zh-CN"/>
        </w:rPr>
        <w:t>as res</w:t>
      </w:r>
      <w:r w:rsidR="002075B6">
        <w:rPr>
          <w:rFonts w:eastAsiaTheme="minorEastAsia"/>
          <w:lang w:val="en-US" w:eastAsia="zh-CN"/>
        </w:rPr>
        <w:t xml:space="preserve">ult of </w:t>
      </w:r>
      <w:r w:rsidR="00B46584">
        <w:rPr>
          <w:rFonts w:eastAsiaTheme="minorEastAsia"/>
          <w:lang w:val="en-US" w:eastAsia="zh-CN"/>
        </w:rPr>
        <w:t xml:space="preserve">an agreed CR to </w:t>
      </w:r>
      <w:r w:rsidR="005160F0">
        <w:rPr>
          <w:rFonts w:eastAsiaTheme="minorEastAsia"/>
          <w:lang w:val="en-US" w:eastAsia="zh-CN"/>
        </w:rPr>
        <w:t>that EVEX stage 2 specification</w:t>
      </w:r>
      <w:r w:rsidR="00B46584">
        <w:rPr>
          <w:rFonts w:eastAsiaTheme="minorEastAsia"/>
          <w:lang w:val="en-US" w:eastAsia="zh-CN"/>
        </w:rPr>
        <w:t xml:space="preserve"> (see attached)</w:t>
      </w:r>
      <w:r w:rsidRPr="00C26718">
        <w:rPr>
          <w:rFonts w:eastAsiaTheme="minorEastAsia"/>
          <w:lang w:val="en-US" w:eastAsia="zh-CN"/>
        </w:rPr>
        <w:t>.</w:t>
      </w:r>
      <w:r w:rsidR="00A260B3">
        <w:rPr>
          <w:rFonts w:eastAsiaTheme="minorEastAsia"/>
          <w:lang w:val="en-US" w:eastAsia="zh-CN"/>
        </w:rPr>
        <w:t xml:space="preserve"> </w:t>
      </w:r>
      <w:r w:rsidR="005160F0">
        <w:rPr>
          <w:rFonts w:eastAsiaTheme="minorEastAsia"/>
          <w:lang w:val="en-US" w:eastAsia="zh-CN"/>
        </w:rPr>
        <w:t>Th</w:t>
      </w:r>
      <w:r w:rsidR="0032393F">
        <w:rPr>
          <w:rFonts w:eastAsiaTheme="minorEastAsia"/>
          <w:lang w:val="en-US" w:eastAsia="zh-CN"/>
        </w:rPr>
        <w:t>is</w:t>
      </w:r>
      <w:r w:rsidR="005160F0">
        <w:rPr>
          <w:rFonts w:eastAsiaTheme="minorEastAsia"/>
          <w:lang w:val="en-US" w:eastAsia="zh-CN"/>
        </w:rPr>
        <w:t xml:space="preserve"> CR was in turn motivated by an agreed CR to TS 26.501 (also attached) which </w:t>
      </w:r>
      <w:r w:rsidR="00C02FC6">
        <w:rPr>
          <w:rFonts w:eastAsiaTheme="minorEastAsia"/>
          <w:lang w:val="en-US" w:eastAsia="zh-CN"/>
        </w:rPr>
        <w:t xml:space="preserve">describes the use of event subscription </w:t>
      </w:r>
      <w:r w:rsidR="00335B07">
        <w:rPr>
          <w:rFonts w:eastAsiaTheme="minorEastAsia"/>
          <w:lang w:val="en-US" w:eastAsia="zh-CN"/>
        </w:rPr>
        <w:t xml:space="preserve">filters </w:t>
      </w:r>
      <w:r w:rsidR="00C02FC6">
        <w:rPr>
          <w:rFonts w:eastAsiaTheme="minorEastAsia"/>
          <w:lang w:val="en-US" w:eastAsia="zh-CN"/>
        </w:rPr>
        <w:t xml:space="preserve">when the generic data collection and reporting architecture is instantiated for </w:t>
      </w:r>
      <w:r w:rsidR="005160F0">
        <w:rPr>
          <w:rFonts w:eastAsiaTheme="minorEastAsia"/>
          <w:lang w:val="en-US" w:eastAsia="zh-CN"/>
        </w:rPr>
        <w:t>5G Media Streaming.</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8FDF7A3"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9D2F59" w:rsidRPr="009D2F59">
        <w:rPr>
          <w:rFonts w:cs="Times New Roman"/>
        </w:rPr>
        <w:t xml:space="preserve">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TS 26.53</w:t>
      </w:r>
      <w:r w:rsidR="008165EC">
        <w:rPr>
          <w:rFonts w:cs="Times New Roman"/>
          <w:iCs/>
        </w:rPr>
        <w:t>2,</w:t>
      </w:r>
      <w:r w:rsidR="000D6072">
        <w:rPr>
          <w:rFonts w:cs="Times New Roman"/>
          <w:iCs/>
        </w:rPr>
        <w:t xml:space="preserve"> </w:t>
      </w:r>
      <w:r w:rsidR="009D2F59" w:rsidRPr="009D2F59">
        <w:rPr>
          <w:rFonts w:cs="Times New Roman"/>
          <w:iCs/>
        </w:rPr>
        <w:t xml:space="preserve">TS </w:t>
      </w:r>
      <w:proofErr w:type="gramStart"/>
      <w:r w:rsidR="009D2F59" w:rsidRPr="009D2F59">
        <w:rPr>
          <w:rFonts w:cs="Times New Roman"/>
          <w:iCs/>
        </w:rPr>
        <w:t>26.53</w:t>
      </w:r>
      <w:r w:rsidR="001374B2">
        <w:rPr>
          <w:rFonts w:cs="Times New Roman"/>
          <w:iCs/>
        </w:rPr>
        <w:t>1</w:t>
      </w:r>
      <w:proofErr w:type="gramEnd"/>
      <w:r w:rsidR="008165EC">
        <w:rPr>
          <w:rFonts w:cs="Times New Roman"/>
          <w:iCs/>
        </w:rPr>
        <w:t xml:space="preserve"> and TS 26.501</w:t>
      </w:r>
      <w:r w:rsidR="00653F5B">
        <w:rPr>
          <w:rFonts w:cs="Times New Roman"/>
          <w:iCs/>
        </w:rPr>
        <w:t>,</w:t>
      </w:r>
      <w:r w:rsidR="000D6072">
        <w:rPr>
          <w:rFonts w:cs="Times New Roman"/>
          <w:iCs/>
        </w:rPr>
        <w:t xml:space="preserve"> </w:t>
      </w:r>
      <w:r w:rsidR="009D2F59" w:rsidRPr="009D2F59">
        <w:rPr>
          <w:rFonts w:cs="Times New Roman"/>
          <w:iCs/>
        </w:rPr>
        <w:t xml:space="preserve">into consideration </w:t>
      </w:r>
      <w:r w:rsidR="008165EC">
        <w:rPr>
          <w:rFonts w:cs="Times New Roman"/>
          <w:iCs/>
        </w:rPr>
        <w:t>towards</w:t>
      </w:r>
      <w:r w:rsidR="009D2F59" w:rsidRPr="009D2F59">
        <w:rPr>
          <w:rFonts w:cs="Times New Roman"/>
          <w:iCs/>
        </w:rPr>
        <w:t xml:space="preserve"> your development of the relevant </w:t>
      </w:r>
      <w:r w:rsidR="008165EC">
        <w:rPr>
          <w:rFonts w:cs="Times New Roman"/>
          <w:iCs/>
        </w:rPr>
        <w:t xml:space="preserve">CT3 </w:t>
      </w:r>
      <w:r w:rsidR="009D2F59" w:rsidRPr="009D2F59">
        <w:rPr>
          <w:rFonts w:cs="Times New Roman"/>
          <w:iCs/>
        </w:rPr>
        <w:t>specifications</w:t>
      </w:r>
      <w:r w:rsidR="008165EC">
        <w:rPr>
          <w:rFonts w:cs="Times New Roman"/>
          <w:iCs/>
        </w:rPr>
        <w:t xml:space="preserve"> changes</w:t>
      </w:r>
      <w:r w:rsidR="009D2F59" w:rsidRPr="009D2F59">
        <w:rPr>
          <w:rFonts w:cs="Times New Roman"/>
          <w:iCs/>
        </w:rPr>
        <w:t xml:space="preserve">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507AD51B"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165EC">
        <w:t>EU</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234F" w14:textId="77777777" w:rsidR="00CE7564" w:rsidRDefault="00CE7564">
      <w:pPr>
        <w:spacing w:after="0"/>
      </w:pPr>
      <w:r>
        <w:separator/>
      </w:r>
    </w:p>
  </w:endnote>
  <w:endnote w:type="continuationSeparator" w:id="0">
    <w:p w14:paraId="5EE797FF" w14:textId="77777777" w:rsidR="00CE7564" w:rsidRDefault="00CE7564">
      <w:pPr>
        <w:spacing w:after="0"/>
      </w:pPr>
      <w:r>
        <w:continuationSeparator/>
      </w:r>
    </w:p>
  </w:endnote>
  <w:endnote w:type="continuationNotice" w:id="1">
    <w:p w14:paraId="3B2838CA" w14:textId="77777777" w:rsidR="00CE7564" w:rsidRDefault="00CE7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32F7" w14:textId="77777777" w:rsidR="00CE7564" w:rsidRDefault="00CE7564">
      <w:pPr>
        <w:spacing w:after="0"/>
      </w:pPr>
      <w:r>
        <w:separator/>
      </w:r>
    </w:p>
  </w:footnote>
  <w:footnote w:type="continuationSeparator" w:id="0">
    <w:p w14:paraId="26FCB2D9" w14:textId="77777777" w:rsidR="00CE7564" w:rsidRDefault="00CE7564">
      <w:pPr>
        <w:spacing w:after="0"/>
      </w:pPr>
      <w:r>
        <w:continuationSeparator/>
      </w:r>
    </w:p>
  </w:footnote>
  <w:footnote w:type="continuationNotice" w:id="1">
    <w:p w14:paraId="3033C27C" w14:textId="77777777" w:rsidR="00CE7564" w:rsidRDefault="00CE7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719</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4552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(081822)</cp:lastModifiedBy>
  <cp:revision>4</cp:revision>
  <cp:lastPrinted>2002-04-23T07:10:00Z</cp:lastPrinted>
  <dcterms:created xsi:type="dcterms:W3CDTF">2022-08-19T15:34:00Z</dcterms:created>
  <dcterms:modified xsi:type="dcterms:W3CDTF">2022-08-19T15:37:00Z</dcterms:modified>
</cp:coreProperties>
</file>